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2"/>
        <w:rPr>
          <w:sz w:val="24"/>
          <w:szCs w:val="24"/>
        </w:rPr>
      </w:pPr>
      <w:bookmarkStart w:id="0" w:name="_e9mvhr5gbuof"/>
      <w:bookmarkEnd w:id="0"/>
      <w:r>
        <w:rPr>
          <w:sz w:val="24"/>
          <w:szCs w:val="24"/>
        </w:rPr>
        <w:t>SketchUp Conversion Promotion - Terms and Conditions</w:t>
      </w:r>
    </w:p>
    <w:p>
      <w:pPr>
        <w:pStyle w:val="Ttulo2"/>
        <w:rPr>
          <w:b w:val="false"/>
          <w:b w:val="false"/>
        </w:rPr>
      </w:pPr>
      <w:bookmarkStart w:id="1" w:name="_ufz02xcbqeaz"/>
      <w:bookmarkEnd w:id="1"/>
      <w:r>
        <w:rPr>
          <w:b w:val="false"/>
          <w:sz w:val="24"/>
          <w:szCs w:val="24"/>
        </w:rPr>
        <w:t>Single user License | 1-Year Subscription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What is the </w:t>
      </w:r>
      <w:r>
        <w:rPr>
          <w:b/>
          <w:i/>
          <w:sz w:val="18"/>
          <w:szCs w:val="18"/>
        </w:rPr>
        <w:t>SketchUp Conversion Promotion</w:t>
      </w:r>
      <w:r>
        <w:rPr>
          <w:b/>
          <w:sz w:val="18"/>
          <w:szCs w:val="18"/>
        </w:rPr>
        <w:t xml:space="preserve"> for perpetual (Classic) Single user Licenses?</w:t>
      </w:r>
    </w:p>
    <w:p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  <w:t>For each eligible SketchUp Pro perpetual license, instead of purchasing Maintenance and Support, a customer may purchase a single 1-year SketchUp Pro subscription with a 60% discount on Trimble’s suggested retail price. A participating customer will retain the ability to use the SketchUp Pro (Classic) license, without the ability to receive Maintenance and Support. A customer may purchase up to a maximum of 50 discounted subscription seats as part of this promotion.</w:t>
      </w:r>
    </w:p>
    <w:p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Which SketchUp Pro perpetual licenses are eligible?</w:t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  <w:t>A perpetual license must meet all the following requirements to be eligible:</w:t>
      </w:r>
    </w:p>
    <w:p>
      <w:pPr>
        <w:pStyle w:val="Normal1"/>
        <w:widowControl/>
        <w:numPr>
          <w:ilvl w:val="0"/>
          <w:numId w:val="1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>Perpetual Single user license of SketchUp Pro (Classic)</w:t>
      </w:r>
    </w:p>
    <w:p>
      <w:pPr>
        <w:pStyle w:val="Normal1"/>
        <w:numPr>
          <w:ilvl w:val="0"/>
          <w:numId w:val="1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>Has not previously been used in any subscription promotion</w:t>
      </w:r>
    </w:p>
    <w:p>
      <w:pPr>
        <w:pStyle w:val="Normal1"/>
        <w:numPr>
          <w:ilvl w:val="0"/>
          <w:numId w:val="1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>Is the most recent serial number (if previously upgraded/auto-upgraded)</w:t>
      </w:r>
    </w:p>
    <w:p>
      <w:pPr>
        <w:pStyle w:val="Normal1"/>
        <w:numPr>
          <w:ilvl w:val="0"/>
          <w:numId w:val="1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>Is a registered commercial version</w:t>
      </w:r>
    </w:p>
    <w:p>
      <w:pPr>
        <w:pStyle w:val="Normal1"/>
        <w:numPr>
          <w:ilvl w:val="0"/>
          <w:numId w:val="1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Has a Maintenance and Support plan that is active or expired not longer than 3 years prior to the date of conversion; </w:t>
      </w:r>
    </w:p>
    <w:p>
      <w:pPr>
        <w:pStyle w:val="Normal1"/>
        <w:numPr>
          <w:ilvl w:val="1"/>
          <w:numId w:val="1"/>
        </w:numPr>
        <w:ind w:left="1440" w:hanging="360"/>
        <w:rPr>
          <w:sz w:val="18"/>
          <w:szCs w:val="18"/>
        </w:rPr>
      </w:pPr>
      <w:r>
        <w:rPr>
          <w:sz w:val="18"/>
          <w:szCs w:val="18"/>
        </w:rPr>
        <w:t xml:space="preserve">Example a. Maintenance and Support term expires in 2 months: </w:t>
      </w:r>
      <w:r>
        <w:rPr>
          <w:b/>
          <w:sz w:val="18"/>
          <w:szCs w:val="18"/>
        </w:rPr>
        <w:t>Is eligible</w:t>
      </w:r>
    </w:p>
    <w:p>
      <w:pPr>
        <w:pStyle w:val="Normal1"/>
        <w:numPr>
          <w:ilvl w:val="1"/>
          <w:numId w:val="1"/>
        </w:numPr>
        <w:ind w:left="1440" w:hanging="360"/>
        <w:rPr>
          <w:sz w:val="18"/>
          <w:szCs w:val="18"/>
        </w:rPr>
      </w:pPr>
      <w:r>
        <w:rPr>
          <w:sz w:val="18"/>
          <w:szCs w:val="18"/>
        </w:rPr>
        <w:t xml:space="preserve">Example b. Maintenance and Support term expired 2 years and 3 months ago: </w:t>
      </w:r>
      <w:r>
        <w:rPr>
          <w:b/>
          <w:sz w:val="18"/>
          <w:szCs w:val="18"/>
        </w:rPr>
        <w:t>Is eligible</w:t>
      </w:r>
    </w:p>
    <w:p>
      <w:pPr>
        <w:pStyle w:val="Normal1"/>
        <w:numPr>
          <w:ilvl w:val="1"/>
          <w:numId w:val="1"/>
        </w:numPr>
        <w:ind w:left="1440" w:hanging="360"/>
        <w:rPr>
          <w:sz w:val="18"/>
          <w:szCs w:val="18"/>
        </w:rPr>
      </w:pPr>
      <w:r>
        <w:rPr>
          <w:sz w:val="18"/>
          <w:szCs w:val="18"/>
        </w:rPr>
        <w:t xml:space="preserve">Example c. Maintenance and Support term expired 3 years and 1 day ago: </w:t>
      </w:r>
      <w:r>
        <w:rPr>
          <w:b/>
          <w:sz w:val="18"/>
          <w:szCs w:val="18"/>
        </w:rPr>
        <w:t>Is not eligible</w:t>
      </w:r>
    </w:p>
    <w:p>
      <w:pPr>
        <w:pStyle w:val="Normal1"/>
        <w:numPr>
          <w:ilvl w:val="0"/>
          <w:numId w:val="1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Is being used by a customer in </w:t>
      </w:r>
      <w:r>
        <w:rPr>
          <w:sz w:val="18"/>
          <w:szCs w:val="18"/>
        </w:rPr>
        <w:t xml:space="preserve">Portugal </w:t>
      </w:r>
      <w:r>
        <w:rPr>
          <w:sz w:val="18"/>
          <w:szCs w:val="18"/>
        </w:rPr>
        <w:t>only (Customers in other regions are not eligible)</w:t>
      </w:r>
    </w:p>
    <w:p>
      <w:pPr>
        <w:pStyle w:val="Normal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1"/>
        <w:widowControl/>
        <w:rPr>
          <w:sz w:val="18"/>
          <w:szCs w:val="18"/>
        </w:rPr>
      </w:pPr>
      <w:r>
        <w:rPr>
          <w:sz w:val="18"/>
          <w:szCs w:val="18"/>
        </w:rPr>
        <w:t>No other license types qualify for the promotion. Each perpetual license may only be converted once.</w:t>
      </w:r>
    </w:p>
    <w:p>
      <w:pPr>
        <w:pStyle w:val="Normal1"/>
        <w:widowControl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What is the </w:t>
      </w:r>
      <w:r>
        <w:rPr>
          <w:b/>
          <w:i/>
          <w:sz w:val="18"/>
          <w:szCs w:val="18"/>
        </w:rPr>
        <w:t>“SketchUp Expansion Promotion”</w:t>
      </w:r>
      <w:r>
        <w:rPr>
          <w:b/>
          <w:sz w:val="18"/>
          <w:szCs w:val="18"/>
        </w:rPr>
        <w:t>?</w:t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  <w:t>A user may purchase subscription seats in addition to those converted as part of the “</w:t>
      </w:r>
      <w:r>
        <w:rPr>
          <w:i/>
          <w:sz w:val="18"/>
          <w:szCs w:val="18"/>
        </w:rPr>
        <w:t>SketchUp Conversion Promotion</w:t>
      </w:r>
      <w:r>
        <w:rPr>
          <w:sz w:val="18"/>
          <w:szCs w:val="18"/>
        </w:rPr>
        <w:t>”  at a discount of 25% for a 1-year term. A user may receive a discount on up to 4 subscription seats per converted perpetual license up to a maximum of 50 discounted subscription seats in total, as part of both promotions. Subscription renewals are not discounted.</w:t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numPr>
          <w:ilvl w:val="0"/>
          <w:numId w:val="2"/>
        </w:numPr>
        <w:ind w:left="720" w:hanging="360"/>
        <w:rPr>
          <w:sz w:val="18"/>
          <w:szCs w:val="18"/>
          <w:u w:val="none"/>
        </w:rPr>
      </w:pPr>
      <w:r>
        <w:rPr>
          <w:sz w:val="18"/>
          <w:szCs w:val="18"/>
        </w:rPr>
        <w:t>Example d. A customer with a 2 SketchUp Pro perpetual Single user licenses:</w:t>
      </w:r>
    </w:p>
    <w:p>
      <w:pPr>
        <w:pStyle w:val="Normal1"/>
        <w:numPr>
          <w:ilvl w:val="1"/>
          <w:numId w:val="2"/>
        </w:numPr>
        <w:ind w:left="1440" w:hanging="360"/>
        <w:rPr>
          <w:sz w:val="18"/>
          <w:szCs w:val="18"/>
          <w:u w:val="none"/>
        </w:rPr>
      </w:pPr>
      <w:r>
        <w:rPr>
          <w:sz w:val="18"/>
          <w:szCs w:val="18"/>
        </w:rPr>
        <w:t>User may purchase up to 10 discounted seats in total</w:t>
      </w:r>
    </w:p>
    <w:p>
      <w:pPr>
        <w:pStyle w:val="Normal1"/>
        <w:numPr>
          <w:ilvl w:val="1"/>
          <w:numId w:val="2"/>
        </w:numPr>
        <w:ind w:left="1440" w:hanging="360"/>
        <w:rPr>
          <w:sz w:val="18"/>
          <w:szCs w:val="18"/>
          <w:u w:val="none"/>
        </w:rPr>
      </w:pPr>
      <w:r>
        <w:rPr>
          <w:sz w:val="18"/>
          <w:szCs w:val="18"/>
        </w:rPr>
        <w:t xml:space="preserve">Up to 2 as part of the </w:t>
      </w:r>
      <w:r>
        <w:rPr>
          <w:i/>
          <w:sz w:val="18"/>
          <w:szCs w:val="18"/>
        </w:rPr>
        <w:t xml:space="preserve">SketchUp Conversion </w:t>
      </w:r>
      <w:r>
        <w:rPr>
          <w:sz w:val="18"/>
          <w:szCs w:val="18"/>
        </w:rPr>
        <w:t>Promotion</w:t>
      </w:r>
    </w:p>
    <w:p>
      <w:pPr>
        <w:pStyle w:val="Normal1"/>
        <w:numPr>
          <w:ilvl w:val="2"/>
          <w:numId w:val="2"/>
        </w:numPr>
        <w:ind w:left="2160" w:hanging="360"/>
        <w:rPr>
          <w:sz w:val="18"/>
          <w:szCs w:val="18"/>
          <w:u w:val="none"/>
        </w:rPr>
      </w:pPr>
      <w:r>
        <w:rPr>
          <w:sz w:val="18"/>
          <w:szCs w:val="18"/>
        </w:rPr>
        <w:t>(2x1) 1-year subscription seats with a 60% discount;</w:t>
      </w:r>
    </w:p>
    <w:p>
      <w:pPr>
        <w:pStyle w:val="Normal1"/>
        <w:numPr>
          <w:ilvl w:val="1"/>
          <w:numId w:val="2"/>
        </w:numPr>
        <w:ind w:left="1440" w:hanging="360"/>
        <w:rPr>
          <w:sz w:val="18"/>
          <w:szCs w:val="18"/>
          <w:u w:val="none"/>
        </w:rPr>
      </w:pPr>
      <w:r>
        <w:rPr>
          <w:sz w:val="18"/>
          <w:szCs w:val="18"/>
        </w:rPr>
        <w:t xml:space="preserve">Up to 8 as part of </w:t>
      </w:r>
      <w:r>
        <w:rPr>
          <w:i/>
          <w:sz w:val="18"/>
          <w:szCs w:val="18"/>
        </w:rPr>
        <w:t xml:space="preserve">SketchUp Expansion </w:t>
      </w:r>
      <w:r>
        <w:rPr>
          <w:sz w:val="18"/>
          <w:szCs w:val="18"/>
        </w:rPr>
        <w:t>Promotion</w:t>
      </w:r>
    </w:p>
    <w:p>
      <w:pPr>
        <w:pStyle w:val="Normal1"/>
        <w:numPr>
          <w:ilvl w:val="2"/>
          <w:numId w:val="2"/>
        </w:numPr>
        <w:ind w:left="2160" w:hanging="360"/>
        <w:rPr>
          <w:sz w:val="18"/>
          <w:szCs w:val="18"/>
          <w:u w:val="none"/>
        </w:rPr>
      </w:pPr>
      <w:r>
        <w:rPr>
          <w:sz w:val="18"/>
          <w:szCs w:val="18"/>
        </w:rPr>
        <w:t>(2x4) 1-year subscription seats with a 25% discount</w:t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1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What is the duration of the promotion?</w:t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The promotion runs from </w:t>
      </w:r>
      <w:r>
        <w:rPr>
          <w:b/>
          <w:sz w:val="18"/>
          <w:szCs w:val="18"/>
        </w:rPr>
        <w:t>00:00 (MST) May 14, 2020</w:t>
      </w:r>
      <w:r>
        <w:rPr>
          <w:sz w:val="18"/>
          <w:szCs w:val="18"/>
        </w:rPr>
        <w:t xml:space="preserve"> through to </w:t>
      </w:r>
      <w:r>
        <w:rPr>
          <w:b/>
          <w:sz w:val="18"/>
          <w:szCs w:val="18"/>
        </w:rPr>
        <w:t>00:00 (MST) September 24, 2020</w:t>
      </w:r>
      <w:r>
        <w:rPr>
          <w:sz w:val="18"/>
          <w:szCs w:val="18"/>
        </w:rPr>
        <w:t>.</w:t>
      </w:r>
    </w:p>
    <w:p>
      <w:pPr>
        <w:pStyle w:val="Normal1"/>
        <w:widowControl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Can a SketchUp Pro perpetual license be converted to a different Trimble product under this promotion?</w:t>
      </w:r>
    </w:p>
    <w:p>
      <w:pPr>
        <w:pStyle w:val="Normal1"/>
        <w:widowControl/>
        <w:jc w:val="both"/>
        <w:rPr>
          <w:sz w:val="18"/>
          <w:szCs w:val="18"/>
        </w:rPr>
      </w:pPr>
      <w:r>
        <w:rPr>
          <w:b w:val="false"/>
          <w:sz w:val="18"/>
          <w:szCs w:val="18"/>
        </w:rPr>
        <w:t>No, the promotion is valid only on 1-year subscriptions of SketchUp Pro. It is not valid for use on other products or for alternative licensing options</w:t>
      </w:r>
      <w:r>
        <w:rPr>
          <w:sz w:val="18"/>
          <w:szCs w:val="18"/>
        </w:rPr>
        <w:t>.</w:t>
      </w:r>
    </w:p>
    <w:p>
      <w:pPr>
        <w:pStyle w:val="Normal1"/>
        <w:widowControl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Will the promotional pricing apply to subscription renewals?</w:t>
      </w:r>
    </w:p>
    <w:p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  <w:t>No, the promotional pricing may only be used for the initial term of the subscription and is not available for any subscription renewals.</w:t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What happens to the remaining term of Maintenance and Support?</w:t>
      </w:r>
    </w:p>
    <w:p>
      <w:pPr>
        <w:pStyle w:val="Normal1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The Maintenance and Support contract of the perpetual license is terminated as of the date of conversion and cannot be reinstated at a later date.</w:t>
      </w:r>
    </w:p>
    <w:p>
      <w:pPr>
        <w:pStyle w:val="Normal1"/>
        <w:widowControl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What happens to a perpetual license after conversion?</w:t>
      </w:r>
    </w:p>
    <w:p>
      <w:pPr>
        <w:pStyle w:val="Normal1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That particular license may still be used and may be installed on new devices if there are remaining activations, but is not eligible for updates or upgrades to a newer version. </w:t>
      </w:r>
    </w:p>
    <w:p>
      <w:pPr>
        <w:pStyle w:val="Normal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1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What is the license conversion process?</w:t>
      </w:r>
    </w:p>
    <w:p>
      <w:pPr>
        <w:pStyle w:val="Normal1"/>
        <w:widowControl/>
        <w:numPr>
          <w:ilvl w:val="0"/>
          <w:numId w:val="3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>Customer submits its license (s) and other applicable information to the authorized reseller in its region (customer name, serial number/s, and registered email address)</w:t>
      </w:r>
    </w:p>
    <w:p>
      <w:pPr>
        <w:pStyle w:val="Normal1"/>
        <w:widowControl/>
        <w:numPr>
          <w:ilvl w:val="0"/>
          <w:numId w:val="3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>The reseller confirms eligibility with the customer</w:t>
      </w:r>
    </w:p>
    <w:p>
      <w:pPr>
        <w:pStyle w:val="Normal1"/>
        <w:widowControl/>
        <w:numPr>
          <w:ilvl w:val="0"/>
          <w:numId w:val="3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>Customer agrees to these Terms and Conditions</w:t>
      </w:r>
    </w:p>
    <w:p>
      <w:pPr>
        <w:pStyle w:val="Normal1"/>
        <w:numPr>
          <w:ilvl w:val="0"/>
          <w:numId w:val="3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>Customer purchases discounted subscription (s) through the reseller</w:t>
      </w:r>
    </w:p>
    <w:p>
      <w:pPr>
        <w:pStyle w:val="Normal1"/>
        <w:widowControl/>
        <w:numPr>
          <w:ilvl w:val="0"/>
          <w:numId w:val="3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>Perpetual license is registered on Trimble systems as converted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right="0" w:hanging="0"/>
        <w:jc w:val="both"/>
        <w:rPr/>
      </w:pPr>
      <w:r>
        <w:rPr/>
      </w:r>
    </w:p>
    <w:tbl>
      <w:tblPr>
        <w:tblStyle w:val="Table1"/>
        <w:tblW w:w="8790" w:type="dxa"/>
        <w:jc w:val="left"/>
        <w:tblInd w:w="115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760"/>
        <w:gridCol w:w="6029"/>
      </w:tblGrid>
      <w:tr>
        <w:trPr>
          <w:trHeight w:val="1480" w:hRule="atLeast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Perpetual serial number(s) to convert - separated by comma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 agree to the terms</w:t>
              <w:br/>
              <w:t>and conditions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Yes / No</w:t>
            </w:r>
            <w:r>
              <w:rPr/>
              <w:t xml:space="preserve">  (delete as applicable)</w:t>
            </w:r>
          </w:p>
        </w:tc>
      </w:tr>
      <w:tr>
        <w:trPr>
          <w:trHeight w:val="960" w:hRule="atLeast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820" w:hRule="atLeast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right="0" w:hanging="0"/>
        <w:jc w:val="both"/>
        <w:rPr/>
      </w:pPr>
      <w:r>
        <w:rPr/>
      </w:r>
    </w:p>
    <w:p>
      <w:pPr>
        <w:pStyle w:val="Normal1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Can customers receive a refund after converting?</w:t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Customers are entitled to a refund for </w:t>
      </w:r>
      <w:r>
        <w:rPr>
          <w:b/>
          <w:sz w:val="18"/>
          <w:szCs w:val="18"/>
        </w:rPr>
        <w:t>up to 14 days</w:t>
      </w:r>
      <w:r>
        <w:rPr>
          <w:sz w:val="18"/>
          <w:szCs w:val="18"/>
        </w:rPr>
        <w:t xml:space="preserve"> after converting. Upon execution of a refund:</w:t>
      </w:r>
    </w:p>
    <w:p>
      <w:pPr>
        <w:pStyle w:val="Normal1"/>
        <w:numPr>
          <w:ilvl w:val="0"/>
          <w:numId w:val="4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>New subscriptions will be terminated; and</w:t>
      </w:r>
    </w:p>
    <w:p>
      <w:pPr>
        <w:pStyle w:val="Normal1"/>
        <w:numPr>
          <w:ilvl w:val="0"/>
          <w:numId w:val="4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>The perpetual license will be reverted to its original state prior to the initial conversion</w:t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1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Miscellaneous Terms and Conditions</w:t>
      </w:r>
    </w:p>
    <w:p>
      <w:pPr>
        <w:pStyle w:val="Normal1"/>
        <w:numPr>
          <w:ilvl w:val="0"/>
          <w:numId w:val="5"/>
        </w:numPr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The promotion is subject to Trimble resellers’ participation. Trimble resellers are unaffiliated and set their own prices. Advertised savings are based on the Trimble suggested retail price (excluding taxes and/or any other applicable fees) for a single SketchUp Pro subscription in and is used for reference purposes only. Actual pricing may vary by region and is subject to exchange rate fluctuation;</w:t>
      </w:r>
    </w:p>
    <w:p>
      <w:pPr>
        <w:pStyle w:val="Normal1"/>
        <w:numPr>
          <w:ilvl w:val="0"/>
          <w:numId w:val="5"/>
        </w:numPr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This promotion may be combined with Trimble’s </w:t>
      </w:r>
      <w:r>
        <w:rPr>
          <w:i/>
          <w:sz w:val="18"/>
          <w:szCs w:val="18"/>
        </w:rPr>
        <w:t xml:space="preserve">‘SketchUp Expansion promotion’ </w:t>
      </w:r>
      <w:r>
        <w:rPr>
          <w:sz w:val="18"/>
          <w:szCs w:val="18"/>
        </w:rPr>
        <w:t>only. It may not be combined with any additional offer.</w:t>
      </w:r>
    </w:p>
    <w:p>
      <w:pPr>
        <w:pStyle w:val="Normal1"/>
        <w:numPr>
          <w:ilvl w:val="0"/>
          <w:numId w:val="5"/>
        </w:numPr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Trimble reserves the right to modify or cancel, part of or the complete promotional offer without notice, at its sole discretion for any reason.</w:t>
      </w:r>
    </w:p>
    <w:sectPr>
      <w:headerReference w:type="default" r:id="rId2"/>
      <w:footerReference w:type="default" r:id="rId3"/>
      <w:type w:val="nextPage"/>
      <w:pgSz w:w="12240" w:h="15840"/>
      <w:pgMar w:left="720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 Sans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5534025</wp:posOffset>
          </wp:positionH>
          <wp:positionV relativeFrom="paragraph">
            <wp:posOffset>238125</wp:posOffset>
          </wp:positionV>
          <wp:extent cx="1128395" cy="27368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27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jc w:val="center"/>
      <w:rPr/>
    </w:pPr>
    <w:r>
      <w:rPr/>
    </w:r>
  </w:p>
  <w:p>
    <w:pPr>
      <w:pStyle w:val="Normal1"/>
      <w:jc w:val="center"/>
      <w:rPr/>
    </w:pP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of 3</w:t>
    </w:r>
  </w:p>
  <w:p>
    <w:pPr>
      <w:pStyle w:val="Normal1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hd w:val="clear" w:fill="auto"/>
      <w:jc w:val="right"/>
      <w:rPr/>
    </w:pPr>
    <w:r>
      <w:rPr/>
      <w:drawing>
        <wp:anchor behindDoc="1" distT="114300" distB="114300" distL="114300" distR="114300" simplePos="0" locked="0" layoutInCell="1" allowOverlap="1" relativeHeight="7">
          <wp:simplePos x="0" y="0"/>
          <wp:positionH relativeFrom="column">
            <wp:posOffset>171450</wp:posOffset>
          </wp:positionH>
          <wp:positionV relativeFrom="paragraph">
            <wp:posOffset>276225</wp:posOffset>
          </wp:positionV>
          <wp:extent cx="1424940" cy="318770"/>
          <wp:effectExtent l="0" t="0" r="0" b="0"/>
          <wp:wrapSquare wrapText="bothSides"/>
          <wp:docPr id="1" name="image1.png" descr="SU_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SU_Full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pBdr/>
      <w:shd w:val="clear" w:fill="auto"/>
      <w:rPr>
        <w:sz w:val="18"/>
        <w:szCs w:val="18"/>
      </w:rPr>
    </w:pPr>
    <w:r>
      <w:rPr>
        <w:sz w:val="18"/>
        <w:szCs w:val="18"/>
      </w:rPr>
    </w:r>
  </w:p>
  <w:p>
    <w:pPr>
      <w:pStyle w:val="Normal1"/>
      <w:pBdr/>
      <w:shd w:val="clear" w:fill="auto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Open Sans" w:hAnsi="Open Sans" w:eastAsia="Open Sans" w:cs="Open Sans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Open Sans" w:hAnsi="Open Sans" w:eastAsia="Open Sans" w:cs="Open Sans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</w:pPr>
    <w:rPr>
      <w:rFonts w:ascii="Open Sans" w:hAnsi="Open Sans" w:eastAsia="Open Sans" w:cs="Open Sans"/>
      <w:b/>
      <w:color w:val="252532"/>
      <w:sz w:val="36"/>
      <w:szCs w:val="36"/>
    </w:rPr>
  </w:style>
  <w:style w:type="paragraph" w:styleId="Ttulo2">
    <w:name w:val="Heading 2"/>
    <w:basedOn w:val="Normal1"/>
    <w:next w:val="Normal1"/>
    <w:qFormat/>
    <w:pPr>
      <w:keepNext w:val="true"/>
      <w:keepLines/>
    </w:pPr>
    <w:rPr>
      <w:b/>
      <w:color w:val="252532"/>
      <w:sz w:val="28"/>
      <w:szCs w:val="28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160" w:after="0"/>
    </w:pPr>
    <w:rPr>
      <w:b/>
      <w:sz w:val="26"/>
      <w:szCs w:val="26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160" w:after="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lineRule="auto" w:line="276" w:before="0" w:after="0"/>
      <w:jc w:val="left"/>
    </w:pPr>
    <w:rPr>
      <w:rFonts w:ascii="Open Sans" w:hAnsi="Open Sans" w:eastAsia="Open Sans" w:cs="Open Sans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/>
    <w:rPr>
      <w:rFonts w:ascii="Open Sans" w:hAnsi="Open Sans" w:eastAsia="Open Sans" w:cs="Open Sans"/>
      <w:b/>
      <w:color w:val="252532"/>
      <w:sz w:val="44"/>
      <w:szCs w:val="44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200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LibreOffice/6.4.3.2$Windows_X86_64 LibreOffice_project/747b5d0ebf89f41c860ec2a39efd7cb15b54f2d8</Application>
  <Pages>3</Pages>
  <Words>814</Words>
  <Characters>4213</Characters>
  <CharactersWithSpaces>4955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pt-PT</dc:language>
  <cp:lastModifiedBy/>
  <dcterms:modified xsi:type="dcterms:W3CDTF">2020-09-09T12:37:17Z</dcterms:modified>
  <cp:revision>2</cp:revision>
  <dc:subject/>
  <dc:title/>
</cp:coreProperties>
</file>