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A4E1B" w14:textId="77777777" w:rsidR="00CC30EC" w:rsidRDefault="00875C77">
      <w:pPr>
        <w:pStyle w:val="Ttulo2"/>
        <w:rPr>
          <w:sz w:val="24"/>
          <w:szCs w:val="24"/>
        </w:rPr>
      </w:pPr>
      <w:bookmarkStart w:id="0" w:name="_e9mvhr5gbuof" w:colFirst="0" w:colLast="0"/>
      <w:bookmarkEnd w:id="0"/>
      <w:r>
        <w:rPr>
          <w:sz w:val="24"/>
          <w:szCs w:val="24"/>
        </w:rPr>
        <w:t>SketchUp Conversion Promotion - Terms and Conditions</w:t>
      </w:r>
    </w:p>
    <w:p w14:paraId="4AC31FB3" w14:textId="77777777" w:rsidR="00CC30EC" w:rsidRDefault="00875C77">
      <w:pPr>
        <w:pStyle w:val="Ttulo2"/>
        <w:rPr>
          <w:b w:val="0"/>
        </w:rPr>
      </w:pPr>
      <w:bookmarkStart w:id="1" w:name="_ufz02xcbqeaz" w:colFirst="0" w:colLast="0"/>
      <w:bookmarkEnd w:id="1"/>
      <w:r>
        <w:rPr>
          <w:b w:val="0"/>
          <w:sz w:val="24"/>
          <w:szCs w:val="24"/>
        </w:rPr>
        <w:t>Single user License | 2-Year Subscription</w:t>
      </w:r>
    </w:p>
    <w:p w14:paraId="3AA3F137" w14:textId="77777777" w:rsidR="00CC30EC" w:rsidRDefault="00CC30EC">
      <w:pPr>
        <w:rPr>
          <w:sz w:val="20"/>
          <w:szCs w:val="20"/>
        </w:rPr>
      </w:pPr>
    </w:p>
    <w:p w14:paraId="3E69A6FE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is the SketchUp Pro Conversion Promotion for perpetual (Classic) Single user Licenses?</w:t>
      </w:r>
    </w:p>
    <w:p w14:paraId="76383A35" w14:textId="77777777" w:rsidR="00CC30EC" w:rsidRDefault="00875C77">
      <w:pPr>
        <w:jc w:val="both"/>
        <w:rPr>
          <w:sz w:val="18"/>
          <w:szCs w:val="18"/>
        </w:rPr>
      </w:pPr>
      <w:r>
        <w:rPr>
          <w:sz w:val="18"/>
          <w:szCs w:val="18"/>
        </w:rPr>
        <w:t>For each eligible SketchUp Pro perpetual license, instead of purchasing Maintenance and Support, a customer may purchase a single 2-year SketchUp Pro subscription w</w:t>
      </w:r>
      <w:r>
        <w:rPr>
          <w:sz w:val="18"/>
          <w:szCs w:val="18"/>
        </w:rPr>
        <w:t>ith a 60% discount on Trimble’s suggested retail price. A participating customer will retain the ability to use the SketchUp Pro (Classic) license, without the ability to receive Maintenance and Support. A customer may purchase up to a maximum of 50 discou</w:t>
      </w:r>
      <w:r>
        <w:rPr>
          <w:sz w:val="18"/>
          <w:szCs w:val="18"/>
        </w:rPr>
        <w:t>nted subscription seats as part of this promotion.</w:t>
      </w:r>
    </w:p>
    <w:p w14:paraId="661DFE95" w14:textId="77777777" w:rsidR="00CC30EC" w:rsidRDefault="00CC30EC">
      <w:pPr>
        <w:jc w:val="both"/>
        <w:rPr>
          <w:sz w:val="18"/>
          <w:szCs w:val="18"/>
        </w:rPr>
      </w:pPr>
    </w:p>
    <w:p w14:paraId="27BC99BC" w14:textId="77777777" w:rsidR="00CC30EC" w:rsidRDefault="00CC30EC">
      <w:pPr>
        <w:rPr>
          <w:sz w:val="18"/>
          <w:szCs w:val="18"/>
        </w:rPr>
      </w:pPr>
    </w:p>
    <w:p w14:paraId="09628197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Which SketchUp Pro perpetual licenses are eligible?</w:t>
      </w:r>
    </w:p>
    <w:p w14:paraId="23122B7D" w14:textId="77777777" w:rsidR="00CC30EC" w:rsidRDefault="00875C77">
      <w:pPr>
        <w:rPr>
          <w:sz w:val="18"/>
          <w:szCs w:val="18"/>
        </w:rPr>
      </w:pPr>
      <w:r>
        <w:rPr>
          <w:sz w:val="18"/>
          <w:szCs w:val="18"/>
        </w:rPr>
        <w:t>A perpetual license must meet all the following requirements to be eligible:</w:t>
      </w:r>
    </w:p>
    <w:p w14:paraId="0B1B25A4" w14:textId="77777777" w:rsidR="00CC30EC" w:rsidRDefault="00875C77">
      <w:pPr>
        <w:widowControl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Perpetual Single user license of SketchUp Pro (Classic)</w:t>
      </w:r>
    </w:p>
    <w:p w14:paraId="2B7FC624" w14:textId="77777777" w:rsidR="00CC30EC" w:rsidRDefault="00875C7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Has not previously</w:t>
      </w:r>
      <w:r>
        <w:rPr>
          <w:sz w:val="18"/>
          <w:szCs w:val="18"/>
        </w:rPr>
        <w:t xml:space="preserve"> been used in any subscription promotion</w:t>
      </w:r>
    </w:p>
    <w:p w14:paraId="5FE12A71" w14:textId="77777777" w:rsidR="00CC30EC" w:rsidRDefault="00875C7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 the most recent serial number (if previously upgraded/auto-upgraded)</w:t>
      </w:r>
    </w:p>
    <w:p w14:paraId="5C26294F" w14:textId="77777777" w:rsidR="00CC30EC" w:rsidRDefault="00875C7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 a registered commercial version</w:t>
      </w:r>
    </w:p>
    <w:p w14:paraId="3F0BA9FE" w14:textId="77777777" w:rsidR="00CC30EC" w:rsidRDefault="00875C7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Has a Maintenance and Support plan that is active or expired not longer than 3 years prior to the date of co</w:t>
      </w:r>
      <w:r>
        <w:rPr>
          <w:sz w:val="18"/>
          <w:szCs w:val="18"/>
        </w:rPr>
        <w:t xml:space="preserve">nversion; </w:t>
      </w:r>
    </w:p>
    <w:p w14:paraId="3D855D80" w14:textId="77777777" w:rsidR="00CC30EC" w:rsidRDefault="00875C77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a. Maintenance and Support term expires in 2 months: </w:t>
      </w:r>
      <w:r>
        <w:rPr>
          <w:b/>
          <w:sz w:val="18"/>
          <w:szCs w:val="18"/>
        </w:rPr>
        <w:t>Is eligible</w:t>
      </w:r>
    </w:p>
    <w:p w14:paraId="4060C460" w14:textId="77777777" w:rsidR="00CC30EC" w:rsidRDefault="00875C77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b. Maintenance and Support term expired 2 years and 3 months ago: </w:t>
      </w:r>
      <w:r>
        <w:rPr>
          <w:b/>
          <w:sz w:val="18"/>
          <w:szCs w:val="18"/>
        </w:rPr>
        <w:t>Is eligible</w:t>
      </w:r>
    </w:p>
    <w:p w14:paraId="5B5A7EA6" w14:textId="77777777" w:rsidR="00CC30EC" w:rsidRDefault="00875C77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c. Maintenance and Support term expired 3 years and 1 day ago: </w:t>
      </w:r>
      <w:r>
        <w:rPr>
          <w:b/>
          <w:sz w:val="18"/>
          <w:szCs w:val="18"/>
        </w:rPr>
        <w:t>Is not eligible</w:t>
      </w:r>
    </w:p>
    <w:p w14:paraId="39B99619" w14:textId="4C382BDA" w:rsidR="00CC30EC" w:rsidRDefault="00875C7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Is being used by a customer in </w:t>
      </w:r>
      <w:r w:rsidR="00A03E96">
        <w:rPr>
          <w:color w:val="FF00FF"/>
          <w:sz w:val="18"/>
          <w:szCs w:val="18"/>
        </w:rPr>
        <w:t>Portugal</w:t>
      </w:r>
      <w:r>
        <w:rPr>
          <w:sz w:val="18"/>
          <w:szCs w:val="18"/>
        </w:rPr>
        <w:t xml:space="preserve"> only (Customers in other regions are not eligible)</w:t>
      </w:r>
    </w:p>
    <w:p w14:paraId="1FC01739" w14:textId="77777777" w:rsidR="00CC30EC" w:rsidRDefault="00CC30EC">
      <w:pPr>
        <w:rPr>
          <w:b/>
          <w:sz w:val="18"/>
          <w:szCs w:val="18"/>
        </w:rPr>
      </w:pPr>
    </w:p>
    <w:p w14:paraId="2747ACE4" w14:textId="77777777" w:rsidR="00CC30EC" w:rsidRDefault="00875C77">
      <w:pPr>
        <w:widowControl/>
        <w:rPr>
          <w:sz w:val="18"/>
          <w:szCs w:val="18"/>
        </w:rPr>
      </w:pPr>
      <w:r>
        <w:rPr>
          <w:sz w:val="18"/>
          <w:szCs w:val="18"/>
        </w:rPr>
        <w:t>No other license types qualify for the promotion. Each perpetual license may only be converted once.</w:t>
      </w:r>
    </w:p>
    <w:p w14:paraId="03C06FBD" w14:textId="77777777" w:rsidR="00CC30EC" w:rsidRDefault="00CC30EC">
      <w:pPr>
        <w:widowControl/>
        <w:rPr>
          <w:sz w:val="18"/>
          <w:szCs w:val="18"/>
        </w:rPr>
      </w:pPr>
    </w:p>
    <w:p w14:paraId="088B4F06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What is the </w:t>
      </w:r>
      <w:r>
        <w:rPr>
          <w:b/>
          <w:i/>
          <w:sz w:val="18"/>
          <w:szCs w:val="18"/>
        </w:rPr>
        <w:t>“Conversion Expansion”</w:t>
      </w:r>
      <w:r>
        <w:rPr>
          <w:b/>
          <w:sz w:val="18"/>
          <w:szCs w:val="18"/>
        </w:rPr>
        <w:t xml:space="preserve"> promotion?</w:t>
      </w:r>
    </w:p>
    <w:p w14:paraId="636356D8" w14:textId="77777777" w:rsidR="00CC30EC" w:rsidRDefault="00875C77">
      <w:pPr>
        <w:rPr>
          <w:sz w:val="18"/>
          <w:szCs w:val="18"/>
        </w:rPr>
      </w:pPr>
      <w:r>
        <w:rPr>
          <w:sz w:val="18"/>
          <w:szCs w:val="18"/>
        </w:rPr>
        <w:t>A user may p</w:t>
      </w:r>
      <w:r>
        <w:rPr>
          <w:sz w:val="18"/>
          <w:szCs w:val="18"/>
        </w:rPr>
        <w:t>urchase subscription seats in addition to those converted as part of the “</w:t>
      </w:r>
      <w:r>
        <w:rPr>
          <w:i/>
          <w:sz w:val="18"/>
          <w:szCs w:val="18"/>
        </w:rPr>
        <w:t>SketchUp Conversion Promotion</w:t>
      </w:r>
      <w:r>
        <w:rPr>
          <w:sz w:val="18"/>
          <w:szCs w:val="18"/>
        </w:rPr>
        <w:t>”  at a discount of 25% for a 2-year term. A user may receive a discount on up to 4 subscription seats per converted perpetual license up to a maximum of</w:t>
      </w:r>
      <w:r>
        <w:rPr>
          <w:sz w:val="18"/>
          <w:szCs w:val="18"/>
        </w:rPr>
        <w:t xml:space="preserve"> 50 discounted subscription seats in total, as part of both promotions. Subscription renewals are not discounted.</w:t>
      </w:r>
    </w:p>
    <w:p w14:paraId="7507891D" w14:textId="77777777" w:rsidR="00CC30EC" w:rsidRDefault="00CC30EC">
      <w:pPr>
        <w:rPr>
          <w:sz w:val="18"/>
          <w:szCs w:val="18"/>
        </w:rPr>
      </w:pPr>
    </w:p>
    <w:p w14:paraId="3D2405E9" w14:textId="77777777" w:rsidR="00CC30EC" w:rsidRDefault="00875C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Example d. A customer with a 2 SketchUp Pro perpetual Single user licenses:</w:t>
      </w:r>
    </w:p>
    <w:p w14:paraId="2A039689" w14:textId="77777777" w:rsidR="00CC30EC" w:rsidRDefault="00875C77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User may purchase up to 10 discounted seats in total</w:t>
      </w:r>
    </w:p>
    <w:p w14:paraId="66B2C5E8" w14:textId="21DA5B2C" w:rsidR="00CC30EC" w:rsidRDefault="00875C77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Up to 2 (2x1) 2-year subscription seats with a </w:t>
      </w:r>
      <w:r w:rsidR="00A03E96">
        <w:rPr>
          <w:sz w:val="18"/>
          <w:szCs w:val="18"/>
        </w:rPr>
        <w:t>4</w:t>
      </w:r>
      <w:r>
        <w:rPr>
          <w:sz w:val="18"/>
          <w:szCs w:val="18"/>
        </w:rPr>
        <w:t>0% discount;</w:t>
      </w:r>
    </w:p>
    <w:p w14:paraId="735F41B3" w14:textId="77777777" w:rsidR="00CC30EC" w:rsidRDefault="00875C77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 to 8 (2x4) 2-year subscription seats with a 25% discount</w:t>
      </w:r>
    </w:p>
    <w:p w14:paraId="286869DD" w14:textId="77777777" w:rsidR="00CC30EC" w:rsidRDefault="00CC30EC">
      <w:pPr>
        <w:rPr>
          <w:b/>
          <w:sz w:val="18"/>
          <w:szCs w:val="18"/>
        </w:rPr>
      </w:pPr>
    </w:p>
    <w:p w14:paraId="48B2043F" w14:textId="77777777" w:rsidR="00CC30EC" w:rsidRDefault="00CC30EC">
      <w:pPr>
        <w:rPr>
          <w:b/>
          <w:sz w:val="18"/>
          <w:szCs w:val="18"/>
        </w:rPr>
      </w:pPr>
    </w:p>
    <w:p w14:paraId="7059D13B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is the duration of the promotion?</w:t>
      </w:r>
    </w:p>
    <w:p w14:paraId="56E19034" w14:textId="726E703E" w:rsidR="00A03E96" w:rsidRDefault="00A03E96" w:rsidP="00A03E96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 xml:space="preserve">The promotion runs from </w:t>
      </w:r>
      <w:r>
        <w:rPr>
          <w:b/>
          <w:sz w:val="18"/>
          <w:szCs w:val="18"/>
        </w:rPr>
        <w:t xml:space="preserve">00:00 (WET) November 8, </w:t>
      </w:r>
      <w:proofErr w:type="gramStart"/>
      <w:r>
        <w:rPr>
          <w:b/>
          <w:sz w:val="18"/>
          <w:szCs w:val="18"/>
        </w:rPr>
        <w:t>2021</w:t>
      </w:r>
      <w:proofErr w:type="gramEnd"/>
      <w:r>
        <w:rPr>
          <w:sz w:val="18"/>
          <w:szCs w:val="18"/>
        </w:rPr>
        <w:t xml:space="preserve"> through to </w:t>
      </w:r>
      <w:r>
        <w:rPr>
          <w:b/>
          <w:sz w:val="18"/>
          <w:szCs w:val="18"/>
        </w:rPr>
        <w:t xml:space="preserve">23:59 (WET) December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4, 2021</w:t>
      </w:r>
      <w:r>
        <w:rPr>
          <w:sz w:val="18"/>
          <w:szCs w:val="18"/>
        </w:rPr>
        <w:t>.</w:t>
      </w:r>
    </w:p>
    <w:p w14:paraId="22D0C9FC" w14:textId="77777777" w:rsidR="00CC30EC" w:rsidRDefault="00CC30EC">
      <w:pPr>
        <w:widowControl/>
        <w:rPr>
          <w:sz w:val="18"/>
          <w:szCs w:val="18"/>
        </w:rPr>
      </w:pPr>
    </w:p>
    <w:p w14:paraId="3EE18730" w14:textId="77777777" w:rsidR="00CC30EC" w:rsidRDefault="00875C77">
      <w:pPr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Can a SketchUp Pro perpetual license be converted to a different Trimble product under this promotion?</w:t>
      </w:r>
    </w:p>
    <w:p w14:paraId="6D0C1094" w14:textId="77777777" w:rsidR="00CC30EC" w:rsidRDefault="00875C77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No, the promotion is valid only on </w:t>
      </w:r>
      <w:r>
        <w:rPr>
          <w:sz w:val="18"/>
          <w:szCs w:val="18"/>
        </w:rPr>
        <w:t>2</w:t>
      </w:r>
      <w:r>
        <w:rPr>
          <w:sz w:val="18"/>
          <w:szCs w:val="18"/>
        </w:rPr>
        <w:t>-year subscriptions of SketchUp Pro. It is not valid for use on other products or for alternative licensing options</w:t>
      </w:r>
      <w:r>
        <w:rPr>
          <w:sz w:val="18"/>
          <w:szCs w:val="18"/>
        </w:rPr>
        <w:t>.</w:t>
      </w:r>
    </w:p>
    <w:p w14:paraId="02E4FD4C" w14:textId="77777777" w:rsidR="00CC30EC" w:rsidRDefault="00CC30EC">
      <w:pPr>
        <w:widowControl/>
        <w:rPr>
          <w:sz w:val="18"/>
          <w:szCs w:val="18"/>
        </w:rPr>
      </w:pPr>
    </w:p>
    <w:p w14:paraId="25D60615" w14:textId="77777777" w:rsidR="00CC30EC" w:rsidRDefault="00875C77">
      <w:pPr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Will the promotional pricing apply to subscription renewals?</w:t>
      </w:r>
    </w:p>
    <w:p w14:paraId="1EB41353" w14:textId="77777777" w:rsidR="00CC30EC" w:rsidRDefault="00875C77">
      <w:pPr>
        <w:jc w:val="both"/>
        <w:rPr>
          <w:sz w:val="18"/>
          <w:szCs w:val="18"/>
        </w:rPr>
      </w:pPr>
      <w:r>
        <w:rPr>
          <w:sz w:val="18"/>
          <w:szCs w:val="18"/>
        </w:rPr>
        <w:t>No, the promotional pricing may only be used for the initial term of the subs</w:t>
      </w:r>
      <w:r>
        <w:rPr>
          <w:sz w:val="18"/>
          <w:szCs w:val="18"/>
        </w:rPr>
        <w:t>cription and is not available for any subscription renewals.</w:t>
      </w:r>
    </w:p>
    <w:p w14:paraId="7D560A66" w14:textId="77777777" w:rsidR="00CC30EC" w:rsidRDefault="00CC30EC">
      <w:pPr>
        <w:rPr>
          <w:sz w:val="18"/>
          <w:szCs w:val="18"/>
        </w:rPr>
      </w:pPr>
    </w:p>
    <w:p w14:paraId="68D9F48C" w14:textId="77777777" w:rsidR="00CC30EC" w:rsidRDefault="00875C77">
      <w:pPr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What happens to the remaining term of Maintenance and Support?</w:t>
      </w:r>
    </w:p>
    <w:p w14:paraId="0C8784B1" w14:textId="77777777" w:rsidR="00CC30EC" w:rsidRDefault="00875C77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The Maintenance and Support contract of the perpetual license is terminated as of the date of conversion and cannot be reinstated a</w:t>
      </w:r>
      <w:r>
        <w:rPr>
          <w:sz w:val="18"/>
          <w:szCs w:val="18"/>
        </w:rPr>
        <w:t>t a later date.</w:t>
      </w:r>
    </w:p>
    <w:p w14:paraId="45FA2802" w14:textId="77777777" w:rsidR="00CC30EC" w:rsidRDefault="00CC30EC">
      <w:pPr>
        <w:widowControl/>
        <w:rPr>
          <w:sz w:val="18"/>
          <w:szCs w:val="18"/>
        </w:rPr>
      </w:pPr>
    </w:p>
    <w:p w14:paraId="28DDA6ED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happens to a perpetual license after conversion?</w:t>
      </w:r>
    </w:p>
    <w:p w14:paraId="5A598F8A" w14:textId="77777777" w:rsidR="00CC30EC" w:rsidRDefault="00875C77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particular license may still be used and may be installed on new devices if there are remaining activations, but is not eligible for updates or upgrades to a newer version. </w:t>
      </w:r>
    </w:p>
    <w:p w14:paraId="38E478E0" w14:textId="77777777" w:rsidR="00CC30EC" w:rsidRDefault="00CC30EC">
      <w:pPr>
        <w:rPr>
          <w:sz w:val="18"/>
          <w:szCs w:val="18"/>
        </w:rPr>
      </w:pPr>
    </w:p>
    <w:p w14:paraId="2FFDF7C0" w14:textId="77777777" w:rsidR="00CC30EC" w:rsidRDefault="00CC30EC">
      <w:pPr>
        <w:rPr>
          <w:b/>
          <w:sz w:val="18"/>
          <w:szCs w:val="18"/>
        </w:rPr>
      </w:pPr>
    </w:p>
    <w:p w14:paraId="3D165A71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</w:t>
      </w:r>
      <w:r>
        <w:rPr>
          <w:b/>
          <w:sz w:val="18"/>
          <w:szCs w:val="18"/>
        </w:rPr>
        <w:t xml:space="preserve"> is the license conversion process?</w:t>
      </w:r>
    </w:p>
    <w:p w14:paraId="1D9864CA" w14:textId="77777777" w:rsidR="00CC30EC" w:rsidRDefault="00875C77">
      <w:pPr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submits its license (s) and other applicable information to the authorized reseller in its region (customer name, serial number/s, and registered email address)</w:t>
      </w:r>
    </w:p>
    <w:p w14:paraId="7A5F54A6" w14:textId="77777777" w:rsidR="00CC30EC" w:rsidRDefault="00875C77">
      <w:pPr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reseller confirms eligibility with the custome</w:t>
      </w:r>
      <w:r>
        <w:rPr>
          <w:sz w:val="18"/>
          <w:szCs w:val="18"/>
        </w:rPr>
        <w:t>r</w:t>
      </w:r>
    </w:p>
    <w:p w14:paraId="363F5825" w14:textId="77777777" w:rsidR="00CC30EC" w:rsidRDefault="00875C77">
      <w:pPr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agrees to these Terms and Conditions</w:t>
      </w:r>
    </w:p>
    <w:p w14:paraId="37255663" w14:textId="77777777" w:rsidR="00CC30EC" w:rsidRDefault="00875C77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purchases discounted subscription (s) through the reseller</w:t>
      </w:r>
    </w:p>
    <w:p w14:paraId="2E6FF0BA" w14:textId="77777777" w:rsidR="00CC30EC" w:rsidRDefault="00875C77">
      <w:pPr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Perpetual license is registered on Trimble systems as converted</w:t>
      </w:r>
    </w:p>
    <w:p w14:paraId="1772E478" w14:textId="77777777" w:rsidR="00CC30EC" w:rsidRDefault="00CC30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DB37B5A" w14:textId="77777777" w:rsidR="00CC30EC" w:rsidRDefault="00CC30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8790" w:type="dxa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030"/>
      </w:tblGrid>
      <w:tr w:rsidR="00CC30EC" w14:paraId="1A27E764" w14:textId="77777777">
        <w:trPr>
          <w:trHeight w:val="148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0888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A42546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Perpetual serial number(s) to convert - separated by comma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9612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30EC" w14:paraId="1468ED92" w14:textId="77777777">
        <w:trPr>
          <w:trHeight w:val="78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994F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DA2518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E8CE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30EC" w14:paraId="133CEFEC" w14:textId="77777777">
        <w:trPr>
          <w:trHeight w:val="72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BF80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B55396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8347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30EC" w14:paraId="4DE31A26" w14:textId="77777777">
        <w:trPr>
          <w:trHeight w:val="76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BE5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1CABA6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AF69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30EC" w14:paraId="22F236D4" w14:textId="77777777">
        <w:trPr>
          <w:trHeight w:val="96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F6D4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FFE061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agree to the terms</w:t>
            </w:r>
            <w:r>
              <w:rPr>
                <w:b/>
              </w:rPr>
              <w:br/>
              <w:t>and conditions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E05F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5F955F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      Yes / No</w:t>
            </w:r>
            <w:r>
              <w:t xml:space="preserve">  (delete as applicable)</w:t>
            </w:r>
          </w:p>
        </w:tc>
      </w:tr>
      <w:tr w:rsidR="00CC30EC" w14:paraId="7632D197" w14:textId="77777777">
        <w:trPr>
          <w:trHeight w:val="96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2A46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188F4E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6EF1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30EC" w14:paraId="63E9107D" w14:textId="77777777">
        <w:trPr>
          <w:trHeight w:val="82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76FC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A45D69" w14:textId="77777777" w:rsidR="00CC30EC" w:rsidRDefault="0087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8A5F" w14:textId="77777777" w:rsidR="00CC30EC" w:rsidRDefault="00CC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2A6B2B" w14:textId="77777777" w:rsidR="00CC30EC" w:rsidRDefault="00CC30EC">
      <w:pPr>
        <w:rPr>
          <w:b/>
          <w:sz w:val="18"/>
          <w:szCs w:val="18"/>
        </w:rPr>
      </w:pPr>
    </w:p>
    <w:p w14:paraId="195E46B6" w14:textId="77777777" w:rsidR="00CC30EC" w:rsidRDefault="00CC30EC">
      <w:pPr>
        <w:rPr>
          <w:b/>
          <w:sz w:val="18"/>
          <w:szCs w:val="18"/>
        </w:rPr>
      </w:pPr>
    </w:p>
    <w:p w14:paraId="50CB71C8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Can customers receive a refund after converting?</w:t>
      </w:r>
    </w:p>
    <w:p w14:paraId="27D8F24E" w14:textId="77777777" w:rsidR="00CC30EC" w:rsidRDefault="00875C77">
      <w:pPr>
        <w:rPr>
          <w:sz w:val="18"/>
          <w:szCs w:val="18"/>
        </w:rPr>
      </w:pPr>
      <w:r>
        <w:rPr>
          <w:sz w:val="18"/>
          <w:szCs w:val="18"/>
        </w:rPr>
        <w:t xml:space="preserve">Customers are entitled to a refund for </w:t>
      </w:r>
      <w:r>
        <w:rPr>
          <w:b/>
          <w:sz w:val="18"/>
          <w:szCs w:val="18"/>
        </w:rPr>
        <w:t>up to 14 days</w:t>
      </w:r>
      <w:r>
        <w:rPr>
          <w:sz w:val="18"/>
          <w:szCs w:val="18"/>
        </w:rPr>
        <w:t xml:space="preserve"> after converting. Upon execution of a refund:</w:t>
      </w:r>
    </w:p>
    <w:p w14:paraId="48D45C59" w14:textId="77777777" w:rsidR="00CC30EC" w:rsidRDefault="00875C77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New subscriptions will be terminated; and</w:t>
      </w:r>
    </w:p>
    <w:p w14:paraId="15E79D26" w14:textId="77777777" w:rsidR="00CC30EC" w:rsidRDefault="00875C77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perpetual license will be reverted to its original state prior</w:t>
      </w:r>
      <w:r>
        <w:rPr>
          <w:sz w:val="18"/>
          <w:szCs w:val="18"/>
        </w:rPr>
        <w:t xml:space="preserve"> to the initial conversion</w:t>
      </w:r>
    </w:p>
    <w:p w14:paraId="718473F9" w14:textId="77777777" w:rsidR="00CC30EC" w:rsidRDefault="00CC30EC">
      <w:pPr>
        <w:rPr>
          <w:sz w:val="18"/>
          <w:szCs w:val="18"/>
        </w:rPr>
      </w:pPr>
    </w:p>
    <w:p w14:paraId="01620801" w14:textId="77777777" w:rsidR="00CC30EC" w:rsidRDefault="00CC30EC">
      <w:pPr>
        <w:rPr>
          <w:b/>
          <w:sz w:val="18"/>
          <w:szCs w:val="18"/>
        </w:rPr>
      </w:pPr>
    </w:p>
    <w:p w14:paraId="28D9BB3F" w14:textId="77777777" w:rsidR="00CC30EC" w:rsidRDefault="00875C77">
      <w:pPr>
        <w:rPr>
          <w:b/>
          <w:sz w:val="18"/>
          <w:szCs w:val="18"/>
        </w:rPr>
      </w:pPr>
      <w:r>
        <w:rPr>
          <w:b/>
          <w:sz w:val="18"/>
          <w:szCs w:val="18"/>
        </w:rPr>
        <w:t>Miscellaneous Terms and Conditions</w:t>
      </w:r>
    </w:p>
    <w:p w14:paraId="43F13229" w14:textId="77777777" w:rsidR="00CC30EC" w:rsidRDefault="00875C77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promotion is subject to Trimble resellers’ participation. Trimble resellers are unaffiliated and set their own prices. Advertised savings are based on the Trimble suggested retail price (e</w:t>
      </w:r>
      <w:r>
        <w:rPr>
          <w:sz w:val="18"/>
          <w:szCs w:val="18"/>
        </w:rPr>
        <w:t>xcluding taxes and/or any other applicable fees) for a single SketchUp Pro subscription in and is used for reference purposes only. Actual pricing may vary by region and is subject to exchange rate fluctuation;</w:t>
      </w:r>
    </w:p>
    <w:p w14:paraId="171E1ECF" w14:textId="77777777" w:rsidR="00CC30EC" w:rsidRDefault="00875C77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This promotion may be combined with Trimble’s </w:t>
      </w:r>
      <w:r>
        <w:rPr>
          <w:i/>
          <w:sz w:val="18"/>
          <w:szCs w:val="18"/>
        </w:rPr>
        <w:t xml:space="preserve">‘SketchUp Expansion promotion’ </w:t>
      </w:r>
      <w:r>
        <w:rPr>
          <w:sz w:val="18"/>
          <w:szCs w:val="18"/>
        </w:rPr>
        <w:t>only. It may not be combined with any additional offer.</w:t>
      </w:r>
    </w:p>
    <w:p w14:paraId="7990A723" w14:textId="77777777" w:rsidR="00CC30EC" w:rsidRDefault="00875C77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Trimble reserves the right to modify or cancel, part of or the complete promotional offer without notice, at its sole discr</w:t>
      </w:r>
      <w:r>
        <w:rPr>
          <w:sz w:val="18"/>
          <w:szCs w:val="18"/>
        </w:rPr>
        <w:t>etion for any reason.</w:t>
      </w:r>
    </w:p>
    <w:sectPr w:rsidR="00CC30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FC41" w14:textId="77777777" w:rsidR="00875C77" w:rsidRDefault="00875C77">
      <w:pPr>
        <w:spacing w:line="240" w:lineRule="auto"/>
      </w:pPr>
      <w:r>
        <w:separator/>
      </w:r>
    </w:p>
  </w:endnote>
  <w:endnote w:type="continuationSeparator" w:id="0">
    <w:p w14:paraId="17B81FB1" w14:textId="77777777" w:rsidR="00875C77" w:rsidRDefault="00875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4FD1" w14:textId="77777777" w:rsidR="00CC30EC" w:rsidRDefault="00875C77">
    <w:pPr>
      <w:jc w:val="center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F2977AF" wp14:editId="64E13C21">
          <wp:simplePos x="0" y="0"/>
          <wp:positionH relativeFrom="column">
            <wp:posOffset>5534025</wp:posOffset>
          </wp:positionH>
          <wp:positionV relativeFrom="paragraph">
            <wp:posOffset>238125</wp:posOffset>
          </wp:positionV>
          <wp:extent cx="1128713" cy="27378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273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00101" w14:textId="77777777" w:rsidR="00CC30EC" w:rsidRDefault="00CC30EC">
    <w:pPr>
      <w:jc w:val="center"/>
    </w:pPr>
  </w:p>
  <w:p w14:paraId="22537BC6" w14:textId="77777777" w:rsidR="00CC30EC" w:rsidRDefault="00875C77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03E96">
      <w:rPr>
        <w:noProof/>
      </w:rPr>
      <w:t>1</w:t>
    </w:r>
    <w:r>
      <w:fldChar w:fldCharType="end"/>
    </w:r>
    <w:r>
      <w:t xml:space="preserve"> of 3</w:t>
    </w:r>
  </w:p>
  <w:p w14:paraId="77C030DF" w14:textId="77777777" w:rsidR="00CC30EC" w:rsidRDefault="00CC30E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E630" w14:textId="77777777" w:rsidR="00CC30EC" w:rsidRDefault="00875C77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8782232" wp14:editId="43C4B334">
          <wp:simplePos x="0" y="0"/>
          <wp:positionH relativeFrom="column">
            <wp:posOffset>5386388</wp:posOffset>
          </wp:positionH>
          <wp:positionV relativeFrom="paragraph">
            <wp:posOffset>114300</wp:posOffset>
          </wp:positionV>
          <wp:extent cx="1128713" cy="27378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273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67A8" w14:textId="77777777" w:rsidR="00875C77" w:rsidRDefault="00875C77">
      <w:pPr>
        <w:spacing w:line="240" w:lineRule="auto"/>
      </w:pPr>
      <w:r>
        <w:separator/>
      </w:r>
    </w:p>
  </w:footnote>
  <w:footnote w:type="continuationSeparator" w:id="0">
    <w:p w14:paraId="08D23D29" w14:textId="77777777" w:rsidR="00875C77" w:rsidRDefault="00875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FBAE" w14:textId="77777777" w:rsidR="00CC30EC" w:rsidRDefault="00875C77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3A1BC" wp14:editId="2B6079B2">
          <wp:simplePos x="0" y="0"/>
          <wp:positionH relativeFrom="column">
            <wp:posOffset>171450</wp:posOffset>
          </wp:positionH>
          <wp:positionV relativeFrom="paragraph">
            <wp:posOffset>276225</wp:posOffset>
          </wp:positionV>
          <wp:extent cx="1425258" cy="319088"/>
          <wp:effectExtent l="0" t="0" r="0" b="0"/>
          <wp:wrapSquare wrapText="bothSides" distT="114300" distB="114300" distL="114300" distR="114300"/>
          <wp:docPr id="1" name="image1.png" descr="SU_Full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_Full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258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7E2677" w14:textId="77777777" w:rsidR="00CC30EC" w:rsidRDefault="00CC30EC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  <w:p w14:paraId="2B967E92" w14:textId="77777777" w:rsidR="00CC30EC" w:rsidRDefault="00CC30EC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A63" w14:textId="77777777" w:rsidR="00CC30EC" w:rsidRDefault="00875C77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CCA9BD" wp14:editId="599872C7">
          <wp:simplePos x="0" y="0"/>
          <wp:positionH relativeFrom="column">
            <wp:posOffset>1</wp:posOffset>
          </wp:positionH>
          <wp:positionV relativeFrom="paragraph">
            <wp:posOffset>266700</wp:posOffset>
          </wp:positionV>
          <wp:extent cx="1425258" cy="319088"/>
          <wp:effectExtent l="0" t="0" r="0" b="0"/>
          <wp:wrapSquare wrapText="bothSides" distT="114300" distB="114300" distL="114300" distR="114300"/>
          <wp:docPr id="4" name="image1.png" descr="SU_Full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_Full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258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CA0A5" w14:textId="77777777" w:rsidR="00CC30EC" w:rsidRDefault="00CC30EC">
    <w:pPr>
      <w:pBdr>
        <w:top w:val="nil"/>
        <w:left w:val="nil"/>
        <w:bottom w:val="nil"/>
        <w:right w:val="nil"/>
        <w:between w:val="nil"/>
      </w:pBdr>
      <w:jc w:val="center"/>
    </w:pPr>
  </w:p>
  <w:p w14:paraId="307BBB20" w14:textId="77777777" w:rsidR="00CC30EC" w:rsidRDefault="00CC30EC">
    <w:pPr>
      <w:pStyle w:val="Ttulo"/>
    </w:pPr>
    <w:bookmarkStart w:id="2" w:name="_6zmtb8pqajz5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3F1"/>
    <w:multiLevelType w:val="multilevel"/>
    <w:tmpl w:val="C1CAE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84847"/>
    <w:multiLevelType w:val="multilevel"/>
    <w:tmpl w:val="F9362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61CBC"/>
    <w:multiLevelType w:val="multilevel"/>
    <w:tmpl w:val="339EC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4D4653"/>
    <w:multiLevelType w:val="multilevel"/>
    <w:tmpl w:val="30A46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61174C"/>
    <w:multiLevelType w:val="multilevel"/>
    <w:tmpl w:val="ECAAC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EC"/>
    <w:rsid w:val="00875C77"/>
    <w:rsid w:val="00A03E96"/>
    <w:rsid w:val="00C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AE8"/>
  <w15:docId w15:val="{41803BE1-59CC-4D31-AA83-7E3D28E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pt-BR" w:eastAsia="pt-P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252532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252532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b/>
      <w:color w:val="252532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A03E96"/>
    <w:pPr>
      <w:suppressAutoHyphens/>
    </w:pPr>
    <w:rPr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 Cunha</cp:lastModifiedBy>
  <cp:revision>2</cp:revision>
  <dcterms:created xsi:type="dcterms:W3CDTF">2021-11-29T16:06:00Z</dcterms:created>
  <dcterms:modified xsi:type="dcterms:W3CDTF">2021-11-29T16:07:00Z</dcterms:modified>
</cp:coreProperties>
</file>